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23A82">
        <w:trPr>
          <w:trHeight w:val="340"/>
        </w:trPr>
        <w:tc>
          <w:tcPr>
            <w:tcW w:w="9918" w:type="dxa"/>
            <w:gridSpan w:val="4"/>
            <w:shd w:val="clear" w:color="auto" w:fill="661C33"/>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223A82">
        <w:trPr>
          <w:trHeight w:val="340"/>
        </w:trPr>
        <w:tc>
          <w:tcPr>
            <w:tcW w:w="3090" w:type="dxa"/>
            <w:shd w:val="clear" w:color="auto" w:fill="F9F9F9"/>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vAlign w:val="center"/>
          </w:tcPr>
          <w:p w14:paraId="6C77C4E8" w14:textId="21FA551A" w:rsidR="00A70556" w:rsidRDefault="00857938" w:rsidP="00857938">
            <w:pPr>
              <w:spacing w:after="0" w:line="240" w:lineRule="auto"/>
              <w:jc w:val="both"/>
            </w:pPr>
            <w:r w:rsidRPr="00857938">
              <w:t xml:space="preserve">Impulso Empresarial </w:t>
            </w:r>
            <w:r>
              <w:t>e</w:t>
            </w:r>
            <w:r w:rsidRPr="00857938">
              <w:t xml:space="preserve">n Proyectos Estratégicos </w:t>
            </w:r>
            <w:r>
              <w:t>y</w:t>
            </w:r>
            <w:r w:rsidRPr="00857938">
              <w:t xml:space="preserve"> Fomento </w:t>
            </w:r>
            <w:r>
              <w:t>a</w:t>
            </w:r>
            <w:r w:rsidRPr="00857938">
              <w:t>l Emprendimiento</w:t>
            </w:r>
          </w:p>
        </w:tc>
      </w:tr>
      <w:tr w:rsidR="00B861E0" w:rsidRPr="00A70556" w14:paraId="545E4A19" w14:textId="77777777" w:rsidTr="00223A82">
        <w:trPr>
          <w:trHeight w:val="340"/>
        </w:trPr>
        <w:tc>
          <w:tcPr>
            <w:tcW w:w="4712" w:type="dxa"/>
            <w:gridSpan w:val="2"/>
            <w:shd w:val="clear" w:color="auto" w:fill="F9F9F9"/>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9F9F9"/>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857938" w14:paraId="1D014C1E" w14:textId="77777777" w:rsidTr="009F4211">
        <w:trPr>
          <w:trHeight w:val="340"/>
        </w:trPr>
        <w:tc>
          <w:tcPr>
            <w:tcW w:w="4712" w:type="dxa"/>
            <w:gridSpan w:val="2"/>
            <w:vAlign w:val="center"/>
          </w:tcPr>
          <w:p w14:paraId="404D8B68" w14:textId="6361F009" w:rsidR="00B861E0" w:rsidRPr="00857938" w:rsidRDefault="00857938" w:rsidP="00A123E6">
            <w:pPr>
              <w:spacing w:after="0" w:line="276" w:lineRule="auto"/>
              <w:jc w:val="center"/>
            </w:pPr>
            <w:r w:rsidRPr="00857938">
              <w:t>01/01/2026</w:t>
            </w:r>
          </w:p>
        </w:tc>
        <w:tc>
          <w:tcPr>
            <w:tcW w:w="5206" w:type="dxa"/>
            <w:gridSpan w:val="2"/>
            <w:vAlign w:val="center"/>
          </w:tcPr>
          <w:p w14:paraId="79E9E4F4" w14:textId="498DE18B" w:rsidR="00B861E0" w:rsidRPr="00857938" w:rsidRDefault="00857938" w:rsidP="00A123E6">
            <w:pPr>
              <w:spacing w:after="0" w:line="276" w:lineRule="auto"/>
              <w:jc w:val="center"/>
            </w:pPr>
            <w:r w:rsidRPr="00857938">
              <w:t>15/07/2026</w:t>
            </w:r>
          </w:p>
        </w:tc>
      </w:tr>
      <w:tr w:rsidR="00A70556" w14:paraId="6B7EC127" w14:textId="77777777" w:rsidTr="00223A82">
        <w:trPr>
          <w:trHeight w:val="340"/>
        </w:trPr>
        <w:tc>
          <w:tcPr>
            <w:tcW w:w="9918" w:type="dxa"/>
            <w:gridSpan w:val="4"/>
            <w:shd w:val="clear" w:color="auto" w:fill="F9F9F9"/>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857938" w14:paraId="37454C6A" w14:textId="77777777" w:rsidTr="00E06043">
        <w:trPr>
          <w:trHeight w:val="340"/>
        </w:trPr>
        <w:tc>
          <w:tcPr>
            <w:tcW w:w="9918" w:type="dxa"/>
            <w:gridSpan w:val="4"/>
          </w:tcPr>
          <w:p w14:paraId="78C4F704" w14:textId="348F72AD" w:rsidR="009F4211" w:rsidRPr="00857938" w:rsidRDefault="00857938" w:rsidP="009F4211">
            <w:pPr>
              <w:pStyle w:val="Prrafodelista"/>
              <w:spacing w:after="0" w:line="276" w:lineRule="auto"/>
              <w:ind w:left="37"/>
              <w:jc w:val="both"/>
            </w:pPr>
            <w:r w:rsidRPr="00857938">
              <w:t>Lic. Oscar Abraham Navarro López, Director de Gestión de Fondos</w:t>
            </w:r>
          </w:p>
        </w:tc>
      </w:tr>
      <w:tr w:rsidR="00A70556" w14:paraId="79DD6CAD" w14:textId="77777777" w:rsidTr="00223A82">
        <w:trPr>
          <w:gridAfter w:val="1"/>
          <w:wAfter w:w="8" w:type="dxa"/>
          <w:trHeight w:val="340"/>
        </w:trPr>
        <w:tc>
          <w:tcPr>
            <w:tcW w:w="9910" w:type="dxa"/>
            <w:gridSpan w:val="3"/>
            <w:shd w:val="clear" w:color="auto" w:fill="F9F9F9"/>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60CBE800" w:rsidR="00B920F2" w:rsidRDefault="00857938" w:rsidP="00521401">
      <w:pPr>
        <w:pStyle w:val="Prrafodelista"/>
        <w:spacing w:after="0" w:line="276" w:lineRule="auto"/>
        <w:ind w:left="142"/>
        <w:jc w:val="both"/>
      </w:pPr>
      <w:r w:rsidRPr="00857938">
        <w:t>Contar con una valoración del desempeño de F091 Impulso Empresarial en Proyectos Estratégicos y Fomento al Emprendimiento en su ejercicio fiscal 2025, con base en la información entregada por las unidades responsables del programa, para contribuir a la toma de decisiones.</w:t>
      </w:r>
    </w:p>
    <w:tbl>
      <w:tblPr>
        <w:tblStyle w:val="Tablaconcuadrcula"/>
        <w:tblW w:w="0" w:type="auto"/>
        <w:tblLook w:val="04A0" w:firstRow="1" w:lastRow="0" w:firstColumn="1" w:lastColumn="0" w:noHBand="0" w:noVBand="1"/>
      </w:tblPr>
      <w:tblGrid>
        <w:gridCol w:w="9910"/>
      </w:tblGrid>
      <w:tr w:rsidR="005D1F4D" w14:paraId="0F99AC12" w14:textId="77777777" w:rsidTr="00223A82">
        <w:trPr>
          <w:trHeight w:val="340"/>
        </w:trPr>
        <w:tc>
          <w:tcPr>
            <w:tcW w:w="9910" w:type="dxa"/>
            <w:tcBorders>
              <w:top w:val="nil"/>
              <w:left w:val="nil"/>
              <w:bottom w:val="nil"/>
              <w:right w:val="nil"/>
            </w:tcBorders>
            <w:shd w:val="clear" w:color="auto" w:fill="F9F9F9"/>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227EF711" w14:textId="77777777" w:rsidR="00857938" w:rsidRDefault="00857938" w:rsidP="00857938">
      <w:pPr>
        <w:pStyle w:val="Prrafodelista"/>
        <w:numPr>
          <w:ilvl w:val="0"/>
          <w:numId w:val="2"/>
        </w:numPr>
        <w:spacing w:after="0" w:line="276" w:lineRule="auto"/>
        <w:jc w:val="both"/>
      </w:pPr>
      <w:r>
        <w:t>Reportar los resultados y productos de los programas evaluados durante el ejercicio fiscal 2025 y enlistados en el Anexo II, mediante el análisis de los indicadores de resultados, de los indicadores de servicios y gestión, así como de los hallazgos relevantes derivados de evaluaciones previas (en caso de aplicar) y otros documentos del programa;</w:t>
      </w:r>
    </w:p>
    <w:p w14:paraId="7BD91E04" w14:textId="77777777" w:rsidR="00857938" w:rsidRDefault="00857938" w:rsidP="00857938">
      <w:pPr>
        <w:pStyle w:val="Prrafodelista"/>
        <w:numPr>
          <w:ilvl w:val="0"/>
          <w:numId w:val="2"/>
        </w:numPr>
        <w:spacing w:after="0" w:line="276" w:lineRule="auto"/>
        <w:jc w:val="both"/>
      </w:pPr>
      <w:r>
        <w:t>Analizar el avance de las metas de los indicadores de la Matriz de Indicadores para Resultados (MIR) en el ejercicio fiscal 2025, respecto de años anteriores y el avance en relación con las metas establecidas;</w:t>
      </w:r>
    </w:p>
    <w:p w14:paraId="53616D4C" w14:textId="77777777" w:rsidR="00857938" w:rsidRDefault="00857938" w:rsidP="00857938">
      <w:pPr>
        <w:pStyle w:val="Prrafodelista"/>
        <w:numPr>
          <w:ilvl w:val="0"/>
          <w:numId w:val="2"/>
        </w:numPr>
        <w:spacing w:after="0" w:line="276" w:lineRule="auto"/>
        <w:jc w:val="both"/>
      </w:pPr>
      <w:r>
        <w:t>Identificar los principales aspectos susceptibles de mejora del programa;</w:t>
      </w:r>
    </w:p>
    <w:p w14:paraId="5BAAE189" w14:textId="77777777" w:rsidR="00857938" w:rsidRDefault="00857938" w:rsidP="00857938">
      <w:pPr>
        <w:pStyle w:val="Prrafodelista"/>
        <w:numPr>
          <w:ilvl w:val="0"/>
          <w:numId w:val="2"/>
        </w:numPr>
        <w:spacing w:after="0" w:line="276" w:lineRule="auto"/>
        <w:jc w:val="both"/>
      </w:pPr>
      <w:r>
        <w:t>Analizar la evolución de la cobertura y el presupuesto del programa;</w:t>
      </w:r>
    </w:p>
    <w:p w14:paraId="459B384F" w14:textId="77777777" w:rsidR="00857938" w:rsidRDefault="00857938" w:rsidP="00857938">
      <w:pPr>
        <w:pStyle w:val="Prrafodelista"/>
        <w:numPr>
          <w:ilvl w:val="0"/>
          <w:numId w:val="2"/>
        </w:numPr>
        <w:spacing w:after="0" w:line="276" w:lineRule="auto"/>
        <w:jc w:val="both"/>
      </w:pPr>
      <w:r>
        <w:t>Identificar las fortalezas, los retos y las recomendaciones del programa;</w:t>
      </w:r>
    </w:p>
    <w:p w14:paraId="6ECC0BFB" w14:textId="77777777" w:rsidR="00857938" w:rsidRDefault="00857938" w:rsidP="00857938">
      <w:pPr>
        <w:pStyle w:val="Prrafodelista"/>
        <w:numPr>
          <w:ilvl w:val="0"/>
          <w:numId w:val="2"/>
        </w:numPr>
        <w:spacing w:after="0" w:line="276" w:lineRule="auto"/>
        <w:jc w:val="both"/>
      </w:pPr>
      <w:r>
        <w:t>Contar con una Evaluación Integral del Desempeño de los temas de política pública, con una breve relatoría y una matriz de monitoreo y evaluación por programa que valore su desempeño en distintas áreas.</w:t>
      </w:r>
    </w:p>
    <w:tbl>
      <w:tblPr>
        <w:tblStyle w:val="Tablaconcuadrcula"/>
        <w:tblW w:w="0" w:type="auto"/>
        <w:tblLook w:val="04A0" w:firstRow="1" w:lastRow="0" w:firstColumn="1" w:lastColumn="0" w:noHBand="0" w:noVBand="1"/>
      </w:tblPr>
      <w:tblGrid>
        <w:gridCol w:w="9910"/>
      </w:tblGrid>
      <w:tr w:rsidR="005D1F4D" w14:paraId="07507870" w14:textId="77777777" w:rsidTr="00223A82">
        <w:trPr>
          <w:trHeight w:val="340"/>
        </w:trPr>
        <w:tc>
          <w:tcPr>
            <w:tcW w:w="9910" w:type="dxa"/>
            <w:tcBorders>
              <w:top w:val="nil"/>
              <w:left w:val="nil"/>
              <w:bottom w:val="nil"/>
              <w:right w:val="nil"/>
            </w:tcBorders>
            <w:shd w:val="clear" w:color="auto" w:fill="F9F9F9"/>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5C58AFA4"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857938">
        <w:t>Desempeño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223A82">
        <w:trPr>
          <w:trHeight w:val="340"/>
        </w:trPr>
        <w:tc>
          <w:tcPr>
            <w:tcW w:w="9923" w:type="dxa"/>
            <w:gridSpan w:val="4"/>
            <w:shd w:val="clear" w:color="auto" w:fill="F9F9F9"/>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223A82">
        <w:trPr>
          <w:trHeight w:val="340"/>
        </w:trPr>
        <w:tc>
          <w:tcPr>
            <w:tcW w:w="2694" w:type="dxa"/>
            <w:shd w:val="clear" w:color="auto" w:fill="F9F9F9"/>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9F9F9"/>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9F9F9"/>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9F9F9"/>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220201A0" w:rsidR="00581B4A" w:rsidRPr="00581B4A" w:rsidRDefault="00EC7832" w:rsidP="00090637">
            <w:pPr>
              <w:spacing w:after="0" w:line="276" w:lineRule="auto"/>
              <w:jc w:val="center"/>
              <w:rPr>
                <w:b/>
                <w:bCs/>
              </w:rPr>
            </w:pPr>
            <w:r>
              <w:t>d</w:t>
            </w:r>
            <w:r w:rsidR="0034573D">
              <w:t xml:space="preserve">e </w:t>
            </w:r>
            <w:r w:rsidR="00857938">
              <w:t>Desempeño</w:t>
            </w:r>
          </w:p>
        </w:tc>
      </w:tr>
      <w:tr w:rsidR="005D1F4D" w14:paraId="28F03B61" w14:textId="77777777" w:rsidTr="00223A82">
        <w:trPr>
          <w:trHeight w:val="340"/>
        </w:trPr>
        <w:tc>
          <w:tcPr>
            <w:tcW w:w="9923" w:type="dxa"/>
            <w:gridSpan w:val="4"/>
            <w:shd w:val="clear" w:color="auto" w:fill="F9F9F9"/>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shd w:val="clear" w:color="auto" w:fill="F9F9F9"/>
        <w:tblLook w:val="04A0" w:firstRow="1" w:lastRow="0" w:firstColumn="1" w:lastColumn="0" w:noHBand="0" w:noVBand="1"/>
      </w:tblPr>
      <w:tblGrid>
        <w:gridCol w:w="9910"/>
      </w:tblGrid>
      <w:tr w:rsidR="00E2068E" w:rsidRPr="00E2068E" w14:paraId="62347B8F" w14:textId="77777777" w:rsidTr="00D22A2D">
        <w:trPr>
          <w:trHeight w:val="340"/>
          <w:tblHeader/>
        </w:trPr>
        <w:tc>
          <w:tcPr>
            <w:tcW w:w="9910" w:type="dxa"/>
            <w:tcBorders>
              <w:top w:val="nil"/>
              <w:left w:val="nil"/>
              <w:bottom w:val="nil"/>
              <w:right w:val="nil"/>
            </w:tcBorders>
            <w:shd w:val="clear" w:color="auto" w:fill="661C33"/>
            <w:vAlign w:val="center"/>
          </w:tcPr>
          <w:p w14:paraId="01EFA909" w14:textId="77777777" w:rsidR="00823754" w:rsidRPr="00E2068E" w:rsidRDefault="00823754" w:rsidP="006F4B1F">
            <w:pPr>
              <w:pStyle w:val="Prrafodelista"/>
              <w:numPr>
                <w:ilvl w:val="0"/>
                <w:numId w:val="4"/>
              </w:numPr>
              <w:spacing w:after="0" w:line="276" w:lineRule="auto"/>
              <w:jc w:val="both"/>
            </w:pPr>
            <w:r w:rsidRPr="00E2068E">
              <w:rPr>
                <w:b/>
                <w:bCs/>
              </w:rPr>
              <w:lastRenderedPageBreak/>
              <w:t>Principales Hallazgos de la Evaluación</w:t>
            </w:r>
          </w:p>
        </w:tc>
      </w:tr>
      <w:tr w:rsidR="009C2562" w14:paraId="2F852585" w14:textId="77777777" w:rsidTr="00223A82">
        <w:trPr>
          <w:trHeight w:val="340"/>
        </w:trPr>
        <w:tc>
          <w:tcPr>
            <w:tcW w:w="9910" w:type="dxa"/>
            <w:tcBorders>
              <w:top w:val="nil"/>
              <w:left w:val="nil"/>
              <w:bottom w:val="nil"/>
              <w:right w:val="nil"/>
            </w:tcBorders>
            <w:shd w:val="clear" w:color="auto" w:fill="F9F9F9"/>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6A64F9A" w14:textId="5376E01C" w:rsidR="00113BCD" w:rsidRPr="002F6A18" w:rsidRDefault="00857938" w:rsidP="00857938">
      <w:pPr>
        <w:ind w:left="142"/>
        <w:jc w:val="both"/>
      </w:pPr>
      <w:r w:rsidRPr="00857938">
        <w:t>Los hallazgos reportados confirman que el programa posee una cobertura efectiva, logrando atender a 6,332 beneficiarios durante el último ejercicio. Este alcance demuestra que el programa F091 tiene la facultad de movilizar a una parte significativa de su población objetivo, brindando servicios que trascienden la gestión administrativa para convertirse en herramientas de crecimiento para los emprendedores. La focalización del programa es adecuada, ya que logra identificar proyectos con alto potencial estratégico y les proporciona el acompañamiento técnico necesario para su permanencia en el mercado.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F9F9"/>
        <w:tblLook w:val="04A0" w:firstRow="1" w:lastRow="0" w:firstColumn="1" w:lastColumn="0" w:noHBand="0" w:noVBand="1"/>
      </w:tblPr>
      <w:tblGrid>
        <w:gridCol w:w="9910"/>
      </w:tblGrid>
      <w:tr w:rsidR="003E1018" w14:paraId="1A18EE6B" w14:textId="77777777" w:rsidTr="00223A82">
        <w:tc>
          <w:tcPr>
            <w:tcW w:w="9910" w:type="dxa"/>
            <w:shd w:val="clear" w:color="auto" w:fill="F9F9F9"/>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1C0C3BB8" w:rsidR="00B72B03" w:rsidRDefault="00B72B03" w:rsidP="00975299">
      <w:pPr>
        <w:pStyle w:val="Prrafodelista"/>
        <w:numPr>
          <w:ilvl w:val="2"/>
          <w:numId w:val="5"/>
        </w:numPr>
        <w:spacing w:after="0" w:line="276" w:lineRule="auto"/>
        <w:ind w:left="993" w:hanging="567"/>
        <w:jc w:val="both"/>
        <w:rPr>
          <w:b/>
          <w:bCs/>
        </w:rPr>
      </w:pPr>
      <w:r>
        <w:rPr>
          <w:b/>
          <w:bCs/>
        </w:rPr>
        <w:t>Fortalezas</w:t>
      </w:r>
      <w:r w:rsidR="00857938">
        <w:rPr>
          <w:b/>
          <w:bCs/>
        </w:rPr>
        <w:t xml:space="preserve"> y </w:t>
      </w:r>
      <w:r w:rsidR="00857938" w:rsidRPr="00975299">
        <w:rPr>
          <w:b/>
          <w:bCs/>
        </w:rPr>
        <w:t>Oportunidades</w:t>
      </w:r>
    </w:p>
    <w:p w14:paraId="79ED4C35" w14:textId="77777777" w:rsidR="00857938" w:rsidRDefault="00857938" w:rsidP="00857938">
      <w:pPr>
        <w:pStyle w:val="Prrafodelista"/>
        <w:numPr>
          <w:ilvl w:val="0"/>
          <w:numId w:val="8"/>
        </w:numPr>
        <w:spacing w:line="276" w:lineRule="auto"/>
        <w:jc w:val="both"/>
      </w:pPr>
      <w:r>
        <w:t xml:space="preserve">El programa F091 presenta una fortaleza institucional significativa en su capacidad de resiliencia operativa y eficiencia en el gasto. </w:t>
      </w:r>
    </w:p>
    <w:p w14:paraId="1F919314" w14:textId="77777777" w:rsidR="00857938" w:rsidRDefault="00857938" w:rsidP="00857938">
      <w:pPr>
        <w:pStyle w:val="Prrafodelista"/>
        <w:numPr>
          <w:ilvl w:val="0"/>
          <w:numId w:val="8"/>
        </w:numPr>
        <w:spacing w:line="276" w:lineRule="auto"/>
        <w:jc w:val="both"/>
      </w:pPr>
      <w:r>
        <w:t xml:space="preserve">Se identifica que el programa F091 logra mantener niveles de cobertura superiores al 90% en el ejercicio 2025, a pesar de operar con el presupuesto más bajo del periodo evaluado. Esta capacidad para desvincular el cumplimiento de metas de capacitación de la disponibilidad de grandes techos financieros demuestra una estructura técnica sólida y un aprovechamiento óptimo del capital humano interno. </w:t>
      </w:r>
    </w:p>
    <w:p w14:paraId="2EC429A1" w14:textId="77777777" w:rsidR="00857938" w:rsidRDefault="00857938" w:rsidP="00857938">
      <w:pPr>
        <w:pStyle w:val="Prrafodelista"/>
        <w:numPr>
          <w:ilvl w:val="0"/>
          <w:numId w:val="8"/>
        </w:numPr>
        <w:spacing w:line="276" w:lineRule="auto"/>
        <w:jc w:val="both"/>
      </w:pPr>
      <w:r>
        <w:t>El programa cuenta con una oportunidad estratégica de escalamiento derivada de la recuperación presupuestal proyectada para el ejercicio 2026, lo que permitirá transitar de un modelo de atención de gestión hacia uno de impacto.</w:t>
      </w:r>
    </w:p>
    <w:p w14:paraId="5B3242D7" w14:textId="20C92CA1" w:rsidR="003E1018" w:rsidRPr="003E1018" w:rsidRDefault="003E1018" w:rsidP="00857938">
      <w:pPr>
        <w:pStyle w:val="Prrafodelista"/>
        <w:numPr>
          <w:ilvl w:val="2"/>
          <w:numId w:val="5"/>
        </w:numPr>
        <w:spacing w:after="0" w:line="276" w:lineRule="auto"/>
        <w:ind w:left="993" w:hanging="567"/>
        <w:jc w:val="both"/>
        <w:rPr>
          <w:b/>
          <w:bCs/>
        </w:rPr>
      </w:pPr>
      <w:r w:rsidRPr="003E1018">
        <w:rPr>
          <w:b/>
          <w:bCs/>
        </w:rPr>
        <w:t>Debilidades</w:t>
      </w:r>
      <w:r w:rsidR="00857938">
        <w:rPr>
          <w:b/>
          <w:bCs/>
        </w:rPr>
        <w:t xml:space="preserve"> y </w:t>
      </w:r>
      <w:r w:rsidR="00857938" w:rsidRPr="003E1018">
        <w:rPr>
          <w:b/>
          <w:bCs/>
        </w:rPr>
        <w:t>Amenazas</w:t>
      </w:r>
    </w:p>
    <w:p w14:paraId="4C67637D" w14:textId="77777777" w:rsidR="00857938" w:rsidRDefault="00857938" w:rsidP="00857938">
      <w:pPr>
        <w:pStyle w:val="Prrafodelista"/>
        <w:numPr>
          <w:ilvl w:val="0"/>
          <w:numId w:val="8"/>
        </w:numPr>
        <w:spacing w:line="276" w:lineRule="auto"/>
        <w:jc w:val="both"/>
      </w:pPr>
      <w:r>
        <w:t xml:space="preserve">Se identifica la ausencia de una MIR formalizada y la carencia de indicadores de nivel Propósito y Fin. Esta falta de diseño programático limita la capacidad del programa para medir el cambio real generado en la población atendida y dificulta la determinación de efectos atribuibles. </w:t>
      </w:r>
    </w:p>
    <w:p w14:paraId="356098D7" w14:textId="77777777" w:rsidR="00857938" w:rsidRDefault="00857938" w:rsidP="00857938">
      <w:pPr>
        <w:pStyle w:val="Prrafodelista"/>
        <w:numPr>
          <w:ilvl w:val="0"/>
          <w:numId w:val="8"/>
        </w:numPr>
        <w:spacing w:line="276" w:lineRule="auto"/>
        <w:jc w:val="both"/>
      </w:pPr>
      <w:r>
        <w:t>Se observa una debilidad en la integración transversal de la perspectiva de género, ya que, aunque existe paridad en la atención, no se cuentan con mecanismos que midan el cierre de brechas de desigualdad.</w:t>
      </w:r>
    </w:p>
    <w:p w14:paraId="47C2EBBE" w14:textId="36D5ECCB" w:rsidR="00A165BB" w:rsidRPr="00A165BB" w:rsidRDefault="00857938" w:rsidP="00857938">
      <w:pPr>
        <w:pStyle w:val="Prrafodelista"/>
        <w:numPr>
          <w:ilvl w:val="0"/>
          <w:numId w:val="8"/>
        </w:numPr>
        <w:spacing w:line="276" w:lineRule="auto"/>
        <w:jc w:val="both"/>
      </w:pPr>
      <w:r>
        <w:t>La volatilidad presupuestaria observada en años anteriores pone en riesgo la continuidad de los proyectos de inversión de largo plazo que requieren un acompañamiento institucional sostenido.</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23A82">
        <w:trPr>
          <w:trHeight w:val="340"/>
        </w:trPr>
        <w:tc>
          <w:tcPr>
            <w:tcW w:w="9910" w:type="dxa"/>
            <w:shd w:val="clear" w:color="auto" w:fill="661C33"/>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223A82">
        <w:trPr>
          <w:trHeight w:val="340"/>
        </w:trPr>
        <w:tc>
          <w:tcPr>
            <w:tcW w:w="9910" w:type="dxa"/>
            <w:shd w:val="clear" w:color="auto" w:fill="F9F9F9"/>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1F36EB1" w14:textId="05AF5509" w:rsidR="00113BCD" w:rsidRDefault="00857938" w:rsidP="00A4624B">
      <w:pPr>
        <w:spacing w:after="0" w:line="276" w:lineRule="auto"/>
        <w:ind w:left="284"/>
        <w:jc w:val="both"/>
        <w:rPr>
          <w:lang w:val="es-ES"/>
        </w:rPr>
      </w:pPr>
      <w:r w:rsidRPr="00857938">
        <w:rPr>
          <w:lang w:val="es-ES"/>
        </w:rPr>
        <w:t>El desempeño del programa F091 se valora como estratégico y operativamente sólido, demostrando una alta capacidad de respuesta ante las necesidades del ecosistema emprendedor y empresarial de Sinaloa. El juicio sintético de esta evaluación determina que el programa constituye una pieza clave para el desarrollo económico del estado, fundamentando su éxito en la profesionalización del capital humano y el fortalecimiento de las capacidades técnicas de las MiPyMEs. Se concluye que la intervención ha logrado una madurez operativa importante, consolidando un modelo de atención que prioriza la capacitación y la vinculación sectorial como motores de competitividad.</w:t>
      </w:r>
    </w:p>
    <w:tbl>
      <w:tblPr>
        <w:tblStyle w:val="Tablaconcuadrcula"/>
        <w:tblW w:w="0" w:type="auto"/>
        <w:tblLook w:val="04A0" w:firstRow="1" w:lastRow="0" w:firstColumn="1" w:lastColumn="0" w:noHBand="0" w:noVBand="1"/>
      </w:tblPr>
      <w:tblGrid>
        <w:gridCol w:w="9910"/>
      </w:tblGrid>
      <w:tr w:rsidR="00BB6D7C" w14:paraId="463DE39C" w14:textId="77777777" w:rsidTr="00223A82">
        <w:trPr>
          <w:trHeight w:val="340"/>
        </w:trPr>
        <w:tc>
          <w:tcPr>
            <w:tcW w:w="9910" w:type="dxa"/>
            <w:tcBorders>
              <w:top w:val="nil"/>
              <w:left w:val="nil"/>
              <w:bottom w:val="nil"/>
              <w:right w:val="nil"/>
            </w:tcBorders>
            <w:shd w:val="clear" w:color="auto" w:fill="F9F9F9"/>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2412C3D2" w14:textId="77777777" w:rsidR="00857938" w:rsidRDefault="00857938" w:rsidP="00857938">
      <w:pPr>
        <w:pStyle w:val="Prrafodelista"/>
        <w:numPr>
          <w:ilvl w:val="0"/>
          <w:numId w:val="2"/>
        </w:numPr>
        <w:spacing w:after="0" w:line="276" w:lineRule="auto"/>
        <w:jc w:val="both"/>
      </w:pPr>
      <w:r>
        <w:t>Diseñar y validar la estructura programática del programa (MIR), definiendo indicadores de nivel Fin y Propósito que permitan medir el impacto real en la productividad empresarial de Sinaloa.</w:t>
      </w:r>
    </w:p>
    <w:p w14:paraId="7EEF1DE3" w14:textId="77777777" w:rsidR="00857938" w:rsidRDefault="00857938" w:rsidP="00857938">
      <w:pPr>
        <w:pStyle w:val="Prrafodelista"/>
        <w:numPr>
          <w:ilvl w:val="0"/>
          <w:numId w:val="2"/>
        </w:numPr>
        <w:spacing w:after="0" w:line="276" w:lineRule="auto"/>
        <w:jc w:val="both"/>
      </w:pPr>
      <w:r>
        <w:t>Desarrollar indicadores y mecanismos de consulta que permitan identificar el efecto diferenciado de los servicios de vinculación entre hombres y mujeres, orientando acciones al cierre de brechas de desigualdad.</w:t>
      </w:r>
    </w:p>
    <w:p w14:paraId="365A7C0F" w14:textId="77777777" w:rsidR="00857938" w:rsidRDefault="00857938" w:rsidP="00857938">
      <w:pPr>
        <w:pStyle w:val="Prrafodelista"/>
        <w:numPr>
          <w:ilvl w:val="0"/>
          <w:numId w:val="2"/>
        </w:numPr>
        <w:spacing w:after="0" w:line="276" w:lineRule="auto"/>
        <w:jc w:val="both"/>
      </w:pPr>
      <w:r>
        <w:t>Realizar las fichas técnicas de los indicadores, así como el árbol del problema, árbol de objetivos y la selección de alternativas de acuerdo con la Metodología del Marco Lógico (MML).</w:t>
      </w:r>
    </w:p>
    <w:p w14:paraId="4856292F" w14:textId="77777777" w:rsidR="00857938" w:rsidRDefault="00857938" w:rsidP="00857938">
      <w:pPr>
        <w:pStyle w:val="Prrafodelista"/>
        <w:numPr>
          <w:ilvl w:val="0"/>
          <w:numId w:val="2"/>
        </w:numPr>
        <w:spacing w:after="0" w:line="276" w:lineRule="auto"/>
        <w:jc w:val="both"/>
      </w:pPr>
      <w:r>
        <w:t>Identificar, redefinir y cuantificar las poblaciones (potencial, objetivo y atendida).</w:t>
      </w:r>
    </w:p>
    <w:p w14:paraId="2C76D2D5" w14:textId="77777777" w:rsidR="00857938" w:rsidRDefault="00857938" w:rsidP="00857938">
      <w:pPr>
        <w:pStyle w:val="Prrafodelista"/>
        <w:numPr>
          <w:ilvl w:val="0"/>
          <w:numId w:val="2"/>
        </w:numPr>
        <w:spacing w:after="0" w:line="276" w:lineRule="auto"/>
        <w:jc w:val="both"/>
      </w:pPr>
      <w:r>
        <w:t>Actualizar el diagnóstico del programa para establecer con precisión los valores de la Población Potencial y Objetivo utilizando fuentes oficiales como el DENUE de INEGI, permitiendo un cálculo exacto de la brecha de cobertura.</w:t>
      </w:r>
    </w:p>
    <w:p w14:paraId="6582F84A" w14:textId="77777777" w:rsidR="00857938" w:rsidRDefault="00857938" w:rsidP="00857938">
      <w:pPr>
        <w:pStyle w:val="Prrafodelista"/>
        <w:numPr>
          <w:ilvl w:val="0"/>
          <w:numId w:val="2"/>
        </w:numPr>
        <w:spacing w:after="0" w:line="276" w:lineRule="auto"/>
        <w:jc w:val="both"/>
      </w:pPr>
      <w:r>
        <w:t>Diseñar una metodología de seguimiento a beneficiarios que incluya grupos de comparación para determinar los efectos atribuibles de la capacitación en la supervivencia de las MiPyMEs.</w:t>
      </w:r>
    </w:p>
    <w:p w14:paraId="6C7C1096" w14:textId="77777777" w:rsidR="00857938" w:rsidRDefault="00857938" w:rsidP="00857938">
      <w:pPr>
        <w:pStyle w:val="Prrafodelista"/>
        <w:numPr>
          <w:ilvl w:val="0"/>
          <w:numId w:val="2"/>
        </w:numPr>
        <w:spacing w:after="0" w:line="276" w:lineRule="auto"/>
        <w:jc w:val="both"/>
      </w:pPr>
      <w:r>
        <w:t>Fortalecer el padrón de beneficiarios mediante herramientas digitales que faciliten la trazabilidad de los servicios de asesoría y vinculación técnica entregados.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23A82">
        <w:trPr>
          <w:trHeight w:val="340"/>
        </w:trPr>
        <w:tc>
          <w:tcPr>
            <w:tcW w:w="9910" w:type="dxa"/>
            <w:tcBorders>
              <w:top w:val="nil"/>
              <w:left w:val="nil"/>
              <w:bottom w:val="nil"/>
              <w:right w:val="nil"/>
            </w:tcBorders>
            <w:shd w:val="clear" w:color="auto" w:fill="661C33"/>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223A82">
        <w:trPr>
          <w:trHeight w:val="340"/>
        </w:trPr>
        <w:tc>
          <w:tcPr>
            <w:tcW w:w="9910" w:type="dxa"/>
            <w:tcBorders>
              <w:top w:val="nil"/>
              <w:left w:val="nil"/>
              <w:bottom w:val="nil"/>
              <w:right w:val="nil"/>
            </w:tcBorders>
            <w:shd w:val="clear" w:color="auto" w:fill="F9F9F9"/>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223A82">
        <w:trPr>
          <w:trHeight w:val="340"/>
        </w:trPr>
        <w:tc>
          <w:tcPr>
            <w:tcW w:w="9910" w:type="dxa"/>
            <w:tcBorders>
              <w:top w:val="nil"/>
              <w:left w:val="nil"/>
              <w:bottom w:val="nil"/>
              <w:right w:val="nil"/>
            </w:tcBorders>
            <w:shd w:val="clear" w:color="auto" w:fill="F9F9F9"/>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223A82">
        <w:trPr>
          <w:trHeight w:val="340"/>
        </w:trPr>
        <w:tc>
          <w:tcPr>
            <w:tcW w:w="9910" w:type="dxa"/>
            <w:tcBorders>
              <w:top w:val="nil"/>
              <w:left w:val="nil"/>
              <w:bottom w:val="nil"/>
              <w:right w:val="nil"/>
            </w:tcBorders>
            <w:shd w:val="clear" w:color="auto" w:fill="F9F9F9"/>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223A82">
        <w:trPr>
          <w:trHeight w:val="340"/>
        </w:trPr>
        <w:tc>
          <w:tcPr>
            <w:tcW w:w="9910" w:type="dxa"/>
            <w:tcBorders>
              <w:top w:val="nil"/>
              <w:left w:val="nil"/>
              <w:bottom w:val="nil"/>
              <w:right w:val="nil"/>
            </w:tcBorders>
            <w:shd w:val="clear" w:color="auto" w:fill="F9F9F9"/>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223A82">
        <w:trPr>
          <w:trHeight w:val="340"/>
        </w:trPr>
        <w:tc>
          <w:tcPr>
            <w:tcW w:w="9910" w:type="dxa"/>
            <w:tcBorders>
              <w:top w:val="nil"/>
              <w:left w:val="nil"/>
              <w:bottom w:val="nil"/>
              <w:right w:val="nil"/>
            </w:tcBorders>
            <w:shd w:val="clear" w:color="auto" w:fill="F9F9F9"/>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vAlign w:val="center"/>
          </w:tcPr>
          <w:p w14:paraId="76294494" w14:textId="415E91F0" w:rsidR="006E538E" w:rsidRPr="00133709" w:rsidRDefault="006E538E" w:rsidP="006E538E">
            <w:pPr>
              <w:spacing w:after="0" w:line="276" w:lineRule="auto"/>
              <w:ind w:left="179"/>
            </w:pPr>
            <w:hyperlink r:id="rId8" w:history="1">
              <w:r w:rsidRPr="00F47975">
                <w:rPr>
                  <w:rStyle w:val="Hipervnculo"/>
                </w:rPr>
                <w:t>juan.millan@sinaloa.gob.mx</w:t>
              </w:r>
            </w:hyperlink>
          </w:p>
        </w:tc>
      </w:tr>
      <w:tr w:rsidR="006E538E" w:rsidRPr="006C747D" w14:paraId="3E62001F" w14:textId="77777777" w:rsidTr="00223A82">
        <w:trPr>
          <w:trHeight w:val="340"/>
        </w:trPr>
        <w:tc>
          <w:tcPr>
            <w:tcW w:w="9910" w:type="dxa"/>
            <w:tcBorders>
              <w:top w:val="nil"/>
              <w:left w:val="nil"/>
              <w:bottom w:val="nil"/>
              <w:right w:val="nil"/>
            </w:tcBorders>
            <w:shd w:val="clear" w:color="auto" w:fill="F9F9F9"/>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p w14:paraId="49B693F3" w14:textId="77777777" w:rsidR="00857938" w:rsidRDefault="00857938"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E2068E">
        <w:trPr>
          <w:trHeight w:val="340"/>
          <w:tblHeader/>
        </w:trPr>
        <w:tc>
          <w:tcPr>
            <w:tcW w:w="9910" w:type="dxa"/>
            <w:gridSpan w:val="4"/>
            <w:shd w:val="clear" w:color="auto" w:fill="661C33"/>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223A82">
        <w:trPr>
          <w:trHeight w:val="340"/>
        </w:trPr>
        <w:tc>
          <w:tcPr>
            <w:tcW w:w="9910" w:type="dxa"/>
            <w:gridSpan w:val="4"/>
            <w:shd w:val="clear" w:color="auto" w:fill="F9F9F9"/>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vAlign w:val="center"/>
          </w:tcPr>
          <w:p w14:paraId="44738BAF" w14:textId="5AE567C7" w:rsidR="007C4CD6" w:rsidRPr="00521401" w:rsidRDefault="00857938" w:rsidP="00521401">
            <w:pPr>
              <w:spacing w:after="0" w:line="276" w:lineRule="auto"/>
              <w:ind w:left="179"/>
            </w:pPr>
            <w:r w:rsidRPr="00857938">
              <w:t xml:space="preserve">Impulso Empresarial </w:t>
            </w:r>
            <w:r>
              <w:t>e</w:t>
            </w:r>
            <w:r w:rsidRPr="00857938">
              <w:t xml:space="preserve">n Proyectos Estratégicos </w:t>
            </w:r>
            <w:r>
              <w:t>y</w:t>
            </w:r>
            <w:r w:rsidRPr="00857938">
              <w:t xml:space="preserve"> Fomento </w:t>
            </w:r>
            <w:r>
              <w:t>a</w:t>
            </w:r>
            <w:r w:rsidRPr="00857938">
              <w:t>l Emprendimiento</w:t>
            </w:r>
          </w:p>
        </w:tc>
      </w:tr>
      <w:tr w:rsidR="007C4CD6" w:rsidRPr="007C4CD6" w14:paraId="58672705" w14:textId="77777777" w:rsidTr="00223A82">
        <w:trPr>
          <w:trHeight w:val="340"/>
        </w:trPr>
        <w:tc>
          <w:tcPr>
            <w:tcW w:w="9910" w:type="dxa"/>
            <w:gridSpan w:val="4"/>
            <w:shd w:val="clear" w:color="auto" w:fill="F9F9F9"/>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vAlign w:val="center"/>
          </w:tcPr>
          <w:p w14:paraId="0850CE8D" w14:textId="36B49F63" w:rsidR="007C4CD6" w:rsidRPr="007C4CD6" w:rsidRDefault="00857938" w:rsidP="00521401">
            <w:pPr>
              <w:spacing w:after="0" w:line="276" w:lineRule="auto"/>
              <w:ind w:left="179"/>
            </w:pPr>
            <w:r>
              <w:t>IEPEFE</w:t>
            </w:r>
          </w:p>
        </w:tc>
      </w:tr>
      <w:tr w:rsidR="007C4CD6" w:rsidRPr="007C4CD6" w14:paraId="4335ADA6" w14:textId="77777777" w:rsidTr="00223A82">
        <w:trPr>
          <w:trHeight w:val="340"/>
        </w:trPr>
        <w:tc>
          <w:tcPr>
            <w:tcW w:w="9910" w:type="dxa"/>
            <w:gridSpan w:val="4"/>
            <w:shd w:val="clear" w:color="auto" w:fill="F9F9F9"/>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vAlign w:val="center"/>
          </w:tcPr>
          <w:p w14:paraId="7D53808F" w14:textId="53BA01E5" w:rsidR="007C4CD6" w:rsidRPr="007C4CD6" w:rsidRDefault="00857938" w:rsidP="00521401">
            <w:pPr>
              <w:spacing w:after="0" w:line="276" w:lineRule="auto"/>
              <w:ind w:left="179"/>
            </w:pPr>
            <w:r w:rsidRPr="00857938">
              <w:t>Secretaría de Economía</w:t>
            </w:r>
          </w:p>
        </w:tc>
      </w:tr>
      <w:tr w:rsidR="007C4CD6" w:rsidRPr="007C4CD6" w14:paraId="655B10C7" w14:textId="77777777" w:rsidTr="00223A82">
        <w:trPr>
          <w:trHeight w:val="340"/>
        </w:trPr>
        <w:tc>
          <w:tcPr>
            <w:tcW w:w="9910" w:type="dxa"/>
            <w:gridSpan w:val="4"/>
            <w:shd w:val="clear" w:color="auto" w:fill="F9F9F9"/>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lastRenderedPageBreak/>
              <w:t>Poder Público al que Pertenece(n) el(los) Programa(s):</w:t>
            </w:r>
          </w:p>
        </w:tc>
      </w:tr>
      <w:tr w:rsidR="005A28B9" w:rsidRPr="005A28B9" w14:paraId="42C96924" w14:textId="77777777" w:rsidTr="00223A82">
        <w:trPr>
          <w:trHeight w:val="340"/>
        </w:trPr>
        <w:tc>
          <w:tcPr>
            <w:tcW w:w="2405" w:type="dxa"/>
            <w:shd w:val="clear" w:color="auto" w:fill="F9F9F9"/>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9F9F9"/>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9F9F9"/>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9F9F9"/>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vAlign w:val="center"/>
          </w:tcPr>
          <w:p w14:paraId="43D369B0" w14:textId="404F3056" w:rsidR="005A28B9" w:rsidRPr="00A16BE7" w:rsidRDefault="00857938" w:rsidP="00090637">
            <w:pPr>
              <w:spacing w:after="0" w:line="276" w:lineRule="auto"/>
              <w:jc w:val="center"/>
            </w:pPr>
            <w:r>
              <w:t>X</w:t>
            </w:r>
          </w:p>
        </w:tc>
        <w:tc>
          <w:tcPr>
            <w:tcW w:w="2410" w:type="dxa"/>
            <w:vAlign w:val="center"/>
          </w:tcPr>
          <w:p w14:paraId="208A5616" w14:textId="4F6A786F" w:rsidR="005A28B9" w:rsidRPr="00A16BE7" w:rsidRDefault="005A28B9" w:rsidP="00090637">
            <w:pPr>
              <w:spacing w:after="0" w:line="276" w:lineRule="auto"/>
              <w:jc w:val="center"/>
            </w:pPr>
          </w:p>
        </w:tc>
        <w:tc>
          <w:tcPr>
            <w:tcW w:w="2551" w:type="dxa"/>
            <w:vAlign w:val="center"/>
          </w:tcPr>
          <w:p w14:paraId="761558F7" w14:textId="77777777" w:rsidR="005A28B9" w:rsidRPr="00A16BE7" w:rsidRDefault="005A28B9" w:rsidP="00090637">
            <w:pPr>
              <w:spacing w:after="0" w:line="276" w:lineRule="auto"/>
              <w:jc w:val="center"/>
            </w:pPr>
          </w:p>
        </w:tc>
        <w:tc>
          <w:tcPr>
            <w:tcW w:w="2544" w:type="dxa"/>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223A82">
        <w:trPr>
          <w:trHeight w:val="340"/>
        </w:trPr>
        <w:tc>
          <w:tcPr>
            <w:tcW w:w="9910" w:type="dxa"/>
            <w:gridSpan w:val="3"/>
            <w:shd w:val="clear" w:color="auto" w:fill="F9F9F9"/>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223A82">
        <w:trPr>
          <w:trHeight w:val="340"/>
        </w:trPr>
        <w:tc>
          <w:tcPr>
            <w:tcW w:w="3256" w:type="dxa"/>
            <w:shd w:val="clear" w:color="auto" w:fill="F9F9F9"/>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9F9F9"/>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9F9F9"/>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D36606">
        <w:trPr>
          <w:trHeight w:val="340"/>
        </w:trPr>
        <w:tc>
          <w:tcPr>
            <w:tcW w:w="3256" w:type="dxa"/>
            <w:vAlign w:val="center"/>
          </w:tcPr>
          <w:p w14:paraId="06EEC80E" w14:textId="12FCA7E5" w:rsidR="00090637" w:rsidRPr="00D913D9" w:rsidRDefault="00090637" w:rsidP="00287214">
            <w:pPr>
              <w:spacing w:after="0" w:line="276" w:lineRule="auto"/>
              <w:jc w:val="center"/>
              <w:rPr>
                <w:bCs/>
              </w:rPr>
            </w:pPr>
          </w:p>
        </w:tc>
        <w:tc>
          <w:tcPr>
            <w:tcW w:w="3402" w:type="dxa"/>
            <w:vAlign w:val="center"/>
          </w:tcPr>
          <w:p w14:paraId="117D875F" w14:textId="1FBA139E" w:rsidR="00090637" w:rsidRPr="00090637" w:rsidRDefault="009D01AC" w:rsidP="00287214">
            <w:pPr>
              <w:spacing w:after="0" w:line="276" w:lineRule="auto"/>
              <w:jc w:val="center"/>
            </w:pPr>
            <w:r>
              <w:t>X</w:t>
            </w:r>
          </w:p>
        </w:tc>
        <w:tc>
          <w:tcPr>
            <w:tcW w:w="3252" w:type="dxa"/>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223A82">
        <w:trPr>
          <w:trHeight w:val="706"/>
        </w:trPr>
        <w:tc>
          <w:tcPr>
            <w:tcW w:w="9910" w:type="dxa"/>
            <w:gridSpan w:val="3"/>
            <w:shd w:val="clear" w:color="auto" w:fill="F9F9F9"/>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223A82">
        <w:trPr>
          <w:trHeight w:val="340"/>
        </w:trPr>
        <w:tc>
          <w:tcPr>
            <w:tcW w:w="9910" w:type="dxa"/>
            <w:gridSpan w:val="3"/>
            <w:shd w:val="clear" w:color="auto" w:fill="F9F9F9"/>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D36606">
        <w:trPr>
          <w:trHeight w:val="340"/>
        </w:trPr>
        <w:tc>
          <w:tcPr>
            <w:tcW w:w="9910" w:type="dxa"/>
            <w:gridSpan w:val="3"/>
          </w:tcPr>
          <w:p w14:paraId="7091B8EA" w14:textId="1012EFDA" w:rsidR="005065B9" w:rsidRPr="00521401" w:rsidRDefault="00D36606" w:rsidP="005065B9">
            <w:pPr>
              <w:spacing w:after="0" w:line="276" w:lineRule="auto"/>
              <w:ind w:left="179"/>
            </w:pPr>
            <w:r>
              <w:t>David Ransfery Lizárraga Lazcano</w:t>
            </w:r>
          </w:p>
        </w:tc>
      </w:tr>
      <w:tr w:rsidR="00925C75" w:rsidRPr="00A753A2" w14:paraId="339ACE2F" w14:textId="77777777" w:rsidTr="00223A82">
        <w:trPr>
          <w:trHeight w:val="340"/>
        </w:trPr>
        <w:tc>
          <w:tcPr>
            <w:tcW w:w="9910" w:type="dxa"/>
            <w:gridSpan w:val="3"/>
            <w:shd w:val="clear" w:color="auto" w:fill="F9F9F9"/>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D36606">
        <w:trPr>
          <w:trHeight w:val="340"/>
        </w:trPr>
        <w:tc>
          <w:tcPr>
            <w:tcW w:w="9910" w:type="dxa"/>
            <w:gridSpan w:val="3"/>
          </w:tcPr>
          <w:p w14:paraId="54E4AA94" w14:textId="17AADA43" w:rsidR="00A4624B" w:rsidRPr="007301C5" w:rsidRDefault="004571E6" w:rsidP="00A4624B">
            <w:pPr>
              <w:spacing w:after="0" w:line="276" w:lineRule="auto"/>
              <w:ind w:left="179"/>
            </w:pPr>
            <w:hyperlink r:id="rId9" w:history="1">
              <w:r w:rsidRPr="00431950">
                <w:rPr>
                  <w:rStyle w:val="Hipervnculo"/>
                </w:rPr>
                <w:t>David.lizarraga@sinaloa.gob.mx</w:t>
              </w:r>
            </w:hyperlink>
            <w:r>
              <w:t xml:space="preserve"> </w:t>
            </w:r>
          </w:p>
        </w:tc>
      </w:tr>
      <w:tr w:rsidR="00A753A2" w:rsidRPr="00A753A2" w14:paraId="688D65F7" w14:textId="77777777" w:rsidTr="00223A82">
        <w:trPr>
          <w:trHeight w:val="340"/>
        </w:trPr>
        <w:tc>
          <w:tcPr>
            <w:tcW w:w="9910" w:type="dxa"/>
            <w:gridSpan w:val="3"/>
            <w:shd w:val="clear" w:color="auto" w:fill="F9F9F9"/>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D36606">
        <w:trPr>
          <w:trHeight w:val="340"/>
        </w:trPr>
        <w:tc>
          <w:tcPr>
            <w:tcW w:w="9910" w:type="dxa"/>
            <w:gridSpan w:val="3"/>
            <w:vAlign w:val="center"/>
          </w:tcPr>
          <w:p w14:paraId="138DA773" w14:textId="7A88ECE0" w:rsidR="004E1FF7" w:rsidRPr="007301C5" w:rsidRDefault="009D01AC" w:rsidP="004E1FF7">
            <w:pPr>
              <w:spacing w:after="0" w:line="276" w:lineRule="auto"/>
              <w:ind w:left="179"/>
            </w:pPr>
            <w:r>
              <w:t>Dirección de Proyectos</w:t>
            </w:r>
          </w:p>
        </w:tc>
      </w:tr>
      <w:tr w:rsidR="004E1FF7" w:rsidRPr="00A753A2" w14:paraId="70A117C4" w14:textId="77777777" w:rsidTr="00223A82">
        <w:trPr>
          <w:trHeight w:val="340"/>
        </w:trPr>
        <w:tc>
          <w:tcPr>
            <w:tcW w:w="9910" w:type="dxa"/>
            <w:gridSpan w:val="3"/>
            <w:shd w:val="clear" w:color="auto" w:fill="F9F9F9"/>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D36606">
        <w:trPr>
          <w:trHeight w:val="340"/>
        </w:trPr>
        <w:tc>
          <w:tcPr>
            <w:tcW w:w="9910" w:type="dxa"/>
            <w:gridSpan w:val="3"/>
          </w:tcPr>
          <w:p w14:paraId="6F19C066" w14:textId="3499A85B" w:rsidR="004E1FF7" w:rsidRPr="007301C5" w:rsidRDefault="009D01AC" w:rsidP="004E1FF7">
            <w:pPr>
              <w:spacing w:after="0" w:line="276" w:lineRule="auto"/>
              <w:ind w:left="179"/>
            </w:pPr>
            <w:r>
              <w:t xml:space="preserve">(667) 758 7000 Ext. </w:t>
            </w:r>
            <w:r w:rsidR="00D36606">
              <w:t>2931</w:t>
            </w:r>
          </w:p>
        </w:tc>
      </w:tr>
    </w:tbl>
    <w:p w14:paraId="618D093C" w14:textId="77777777" w:rsidR="006F5149" w:rsidRPr="00857938" w:rsidRDefault="006F5149" w:rsidP="00090637">
      <w:pPr>
        <w:spacing w:after="0" w:line="276" w:lineRule="auto"/>
        <w:jc w:val="both"/>
        <w:rPr>
          <w:sz w:val="18"/>
          <w:szCs w:val="18"/>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23A82">
        <w:trPr>
          <w:trHeight w:val="340"/>
        </w:trPr>
        <w:tc>
          <w:tcPr>
            <w:tcW w:w="9910" w:type="dxa"/>
            <w:gridSpan w:val="4"/>
            <w:shd w:val="clear" w:color="auto" w:fill="661C33"/>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223A82">
        <w:trPr>
          <w:trHeight w:val="340"/>
        </w:trPr>
        <w:tc>
          <w:tcPr>
            <w:tcW w:w="9910" w:type="dxa"/>
            <w:gridSpan w:val="4"/>
            <w:shd w:val="clear" w:color="auto" w:fill="F9F9F9"/>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223A82">
        <w:trPr>
          <w:trHeight w:val="340"/>
        </w:trPr>
        <w:tc>
          <w:tcPr>
            <w:tcW w:w="3261" w:type="dxa"/>
            <w:shd w:val="clear" w:color="auto" w:fill="F9F9F9"/>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vAlign w:val="center"/>
          </w:tcPr>
          <w:p w14:paraId="4BD4FCBC" w14:textId="77777777" w:rsidR="00A06CEF" w:rsidRPr="00866990" w:rsidRDefault="00A06CEF" w:rsidP="00A06CEF">
            <w:pPr>
              <w:spacing w:after="0" w:line="276" w:lineRule="auto"/>
              <w:jc w:val="center"/>
            </w:pPr>
          </w:p>
        </w:tc>
        <w:tc>
          <w:tcPr>
            <w:tcW w:w="3402" w:type="dxa"/>
            <w:shd w:val="clear" w:color="auto" w:fill="F9F9F9"/>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223A82">
        <w:trPr>
          <w:trHeight w:val="340"/>
        </w:trPr>
        <w:tc>
          <w:tcPr>
            <w:tcW w:w="3261" w:type="dxa"/>
            <w:shd w:val="clear" w:color="auto" w:fill="F9F9F9"/>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vAlign w:val="center"/>
          </w:tcPr>
          <w:p w14:paraId="5EA96102" w14:textId="77777777" w:rsidR="00A06CEF" w:rsidRPr="00866990" w:rsidRDefault="00A06CEF" w:rsidP="00A06CEF">
            <w:pPr>
              <w:spacing w:after="0" w:line="276" w:lineRule="auto"/>
              <w:jc w:val="center"/>
            </w:pPr>
          </w:p>
        </w:tc>
        <w:tc>
          <w:tcPr>
            <w:tcW w:w="3402" w:type="dxa"/>
            <w:shd w:val="clear" w:color="auto" w:fill="F9F9F9"/>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223A82">
        <w:trPr>
          <w:trHeight w:val="340"/>
        </w:trPr>
        <w:tc>
          <w:tcPr>
            <w:tcW w:w="3261" w:type="dxa"/>
            <w:shd w:val="clear" w:color="auto" w:fill="F9F9F9"/>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vAlign w:val="center"/>
          </w:tcPr>
          <w:p w14:paraId="22D310B8" w14:textId="38EC145A" w:rsidR="00A06CEF" w:rsidRPr="00866990" w:rsidRDefault="00223A82" w:rsidP="00A06CEF">
            <w:pPr>
              <w:spacing w:after="0" w:line="276" w:lineRule="auto"/>
            </w:pPr>
            <w:r>
              <w:t>No aplica</w:t>
            </w:r>
          </w:p>
        </w:tc>
      </w:tr>
      <w:tr w:rsidR="00090637" w:rsidRPr="006C747D" w14:paraId="26415400" w14:textId="77777777" w:rsidTr="00223A82">
        <w:trPr>
          <w:trHeight w:val="340"/>
        </w:trPr>
        <w:tc>
          <w:tcPr>
            <w:tcW w:w="9910" w:type="dxa"/>
            <w:gridSpan w:val="4"/>
            <w:shd w:val="clear" w:color="auto" w:fill="F9F9F9"/>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223A82" w14:paraId="4305D4C3" w14:textId="77777777" w:rsidTr="00C61D21">
        <w:trPr>
          <w:trHeight w:val="340"/>
        </w:trPr>
        <w:tc>
          <w:tcPr>
            <w:tcW w:w="9910" w:type="dxa"/>
            <w:gridSpan w:val="4"/>
            <w:vAlign w:val="center"/>
          </w:tcPr>
          <w:p w14:paraId="334040E1" w14:textId="2D5A843D" w:rsidR="00223A82" w:rsidRPr="00866990" w:rsidRDefault="00223A82" w:rsidP="00223A82">
            <w:pPr>
              <w:spacing w:after="0" w:line="240" w:lineRule="auto"/>
              <w:ind w:left="179"/>
              <w:jc w:val="both"/>
            </w:pPr>
            <w:r w:rsidRPr="00B97445">
              <w:t>La Dirección de Evaluación adscrita a la Subsecretaría de Planeación, Inversión y Financiamiento de la Secretaría de Administración y Finanzas, Gobierno del Estado de Sinaloa fue la instancia evaluadora de la presente evaluación</w:t>
            </w:r>
          </w:p>
        </w:tc>
      </w:tr>
      <w:tr w:rsidR="00223A82" w:rsidRPr="00C61D21" w14:paraId="513CF278" w14:textId="77777777" w:rsidTr="00223A82">
        <w:trPr>
          <w:trHeight w:val="340"/>
        </w:trPr>
        <w:tc>
          <w:tcPr>
            <w:tcW w:w="9910" w:type="dxa"/>
            <w:gridSpan w:val="4"/>
            <w:shd w:val="clear" w:color="auto" w:fill="F9F9F9"/>
            <w:vAlign w:val="center"/>
          </w:tcPr>
          <w:p w14:paraId="51C016F1"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223A82" w14:paraId="5CBDEAA7" w14:textId="77777777" w:rsidTr="00C61D21">
        <w:trPr>
          <w:trHeight w:val="340"/>
        </w:trPr>
        <w:tc>
          <w:tcPr>
            <w:tcW w:w="9910" w:type="dxa"/>
            <w:gridSpan w:val="4"/>
            <w:vAlign w:val="center"/>
          </w:tcPr>
          <w:p w14:paraId="2A2EB40C" w14:textId="43006591" w:rsidR="00223A82" w:rsidRPr="00866990" w:rsidRDefault="00223A82" w:rsidP="00223A82">
            <w:pPr>
              <w:spacing w:after="0" w:line="240" w:lineRule="auto"/>
              <w:ind w:left="179"/>
              <w:jc w:val="both"/>
            </w:pPr>
            <w:r w:rsidRPr="00223A82">
              <w:t>La evaluación se llevó a cabo a través de la Dirección de Evaluación adscrita a la Subsecretaria de Planeación, Inversión y Financiamiento de la Secretaría de Administración y Finanzas, Gobierno del Estado de Sinaloa, ajena a la unidad responsable del Pp</w:t>
            </w:r>
          </w:p>
        </w:tc>
      </w:tr>
      <w:tr w:rsidR="00223A82" w:rsidRPr="00C61D21" w14:paraId="35D311F3" w14:textId="77777777" w:rsidTr="00223A82">
        <w:trPr>
          <w:trHeight w:val="340"/>
        </w:trPr>
        <w:tc>
          <w:tcPr>
            <w:tcW w:w="9910" w:type="dxa"/>
            <w:gridSpan w:val="4"/>
            <w:shd w:val="clear" w:color="auto" w:fill="F9F9F9"/>
            <w:vAlign w:val="center"/>
          </w:tcPr>
          <w:p w14:paraId="7CDFEEA4" w14:textId="77777777" w:rsidR="00223A82" w:rsidRPr="00866990" w:rsidRDefault="00223A82" w:rsidP="00223A82">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223A82" w:rsidRPr="004C435E" w14:paraId="0EF2F8FE" w14:textId="77777777" w:rsidTr="004C435E">
        <w:trPr>
          <w:trHeight w:val="340"/>
        </w:trPr>
        <w:tc>
          <w:tcPr>
            <w:tcW w:w="9910" w:type="dxa"/>
            <w:gridSpan w:val="4"/>
            <w:vAlign w:val="center"/>
          </w:tcPr>
          <w:p w14:paraId="7D64613A" w14:textId="6DE37C06" w:rsidR="00223A82" w:rsidRPr="00866990" w:rsidRDefault="00223A82" w:rsidP="00223A82">
            <w:pPr>
              <w:spacing w:after="0" w:line="276" w:lineRule="auto"/>
              <w:ind w:left="179"/>
            </w:pPr>
            <w:r w:rsidRPr="00223A82">
              <w:t>Recurso estatal</w:t>
            </w:r>
          </w:p>
        </w:tc>
      </w:tr>
    </w:tbl>
    <w:p w14:paraId="4F8B6B6B" w14:textId="77777777" w:rsidR="002C2D3A" w:rsidRPr="00857938" w:rsidRDefault="002C2D3A" w:rsidP="00857938">
      <w:pPr>
        <w:spacing w:after="0" w:line="240" w:lineRule="auto"/>
        <w:rPr>
          <w:sz w:val="16"/>
          <w:szCs w:val="16"/>
        </w:rPr>
      </w:pPr>
    </w:p>
    <w:tbl>
      <w:tblPr>
        <w:tblStyle w:val="Tablaconcuadrcula"/>
        <w:tblW w:w="0" w:type="auto"/>
        <w:tblLook w:val="04A0" w:firstRow="1" w:lastRow="0" w:firstColumn="1" w:lastColumn="0" w:noHBand="0" w:noVBand="1"/>
      </w:tblPr>
      <w:tblGrid>
        <w:gridCol w:w="9910"/>
      </w:tblGrid>
      <w:tr w:rsidR="002C2D3A" w:rsidRPr="002C2D3A" w14:paraId="48B7EE05" w14:textId="77777777" w:rsidTr="00223A82">
        <w:trPr>
          <w:trHeight w:val="340"/>
        </w:trPr>
        <w:tc>
          <w:tcPr>
            <w:tcW w:w="9910" w:type="dxa"/>
            <w:tcBorders>
              <w:top w:val="nil"/>
              <w:left w:val="nil"/>
              <w:bottom w:val="nil"/>
              <w:right w:val="nil"/>
            </w:tcBorders>
            <w:shd w:val="clear" w:color="auto" w:fill="661C33"/>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223A82">
        <w:trPr>
          <w:trHeight w:val="340"/>
        </w:trPr>
        <w:tc>
          <w:tcPr>
            <w:tcW w:w="9910" w:type="dxa"/>
            <w:tcBorders>
              <w:top w:val="nil"/>
              <w:left w:val="nil"/>
              <w:bottom w:val="nil"/>
              <w:right w:val="nil"/>
            </w:tcBorders>
            <w:shd w:val="clear" w:color="auto" w:fill="F9F9F9"/>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223A82">
        <w:trPr>
          <w:trHeight w:val="340"/>
        </w:trPr>
        <w:tc>
          <w:tcPr>
            <w:tcW w:w="9910" w:type="dxa"/>
            <w:tcBorders>
              <w:top w:val="nil"/>
              <w:left w:val="nil"/>
              <w:bottom w:val="nil"/>
              <w:right w:val="nil"/>
            </w:tcBorders>
            <w:shd w:val="clear" w:color="auto" w:fill="F9F9F9"/>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857938">
      <w:pPr>
        <w:spacing w:after="0" w:line="276" w:lineRule="auto"/>
        <w:jc w:val="both"/>
        <w:rPr>
          <w:lang w:val="es-ES"/>
        </w:rPr>
      </w:pPr>
    </w:p>
    <w:sectPr w:rsidR="00090637" w:rsidRPr="00AF2993" w:rsidSect="00857938">
      <w:headerReference w:type="default" r:id="rId10"/>
      <w:footerReference w:type="default" r:id="rId11"/>
      <w:headerReference w:type="first" r:id="rId12"/>
      <w:footerReference w:type="first" r:id="rId13"/>
      <w:pgSz w:w="12240" w:h="15840"/>
      <w:pgMar w:top="1418" w:right="902" w:bottom="993"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CCC02" w14:textId="77777777" w:rsidR="00DB140C" w:rsidRDefault="00DB140C" w:rsidP="008E5209">
      <w:pPr>
        <w:spacing w:after="0" w:line="240" w:lineRule="auto"/>
      </w:pPr>
      <w:r>
        <w:separator/>
      </w:r>
    </w:p>
  </w:endnote>
  <w:endnote w:type="continuationSeparator" w:id="0">
    <w:p w14:paraId="520CD01B" w14:textId="77777777" w:rsidR="00DB140C" w:rsidRDefault="00DB140C"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C404" w14:textId="77777777" w:rsidR="00DB140C" w:rsidRDefault="00DB140C" w:rsidP="008E5209">
      <w:pPr>
        <w:spacing w:after="0" w:line="240" w:lineRule="auto"/>
      </w:pPr>
      <w:r>
        <w:separator/>
      </w:r>
    </w:p>
  </w:footnote>
  <w:footnote w:type="continuationSeparator" w:id="0">
    <w:p w14:paraId="726A6D3E" w14:textId="77777777" w:rsidR="00DB140C" w:rsidRDefault="00DB140C"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4BBD" w14:textId="77777777" w:rsidR="00356D02" w:rsidRPr="002C2D3A" w:rsidRDefault="00356D02" w:rsidP="00356D02">
    <w:pPr>
      <w:ind w:left="3828"/>
      <w:jc w:val="right"/>
      <w:rPr>
        <w:rFonts w:ascii="Medium" w:hAnsi="Medium" w:cs="Arial"/>
        <w:b/>
        <w:color w:val="404040" w:themeColor="text1" w:themeTint="BF"/>
        <w:sz w:val="26"/>
        <w:szCs w:val="26"/>
      </w:rPr>
    </w:pPr>
    <w:r w:rsidRPr="00356D02">
      <w:rPr>
        <w:rFonts w:ascii="Medium" w:hAnsi="Medium" w:cs="Arial"/>
        <w:b/>
        <w:noProof/>
        <w:color w:val="632423" w:themeColor="accent2" w:themeShade="80"/>
        <w:sz w:val="26"/>
        <w:szCs w:val="26"/>
        <w:lang w:eastAsia="es-MX"/>
      </w:rPr>
      <w:drawing>
        <wp:anchor distT="0" distB="0" distL="114300" distR="114300" simplePos="0" relativeHeight="251660288" behindDoc="0" locked="0" layoutInCell="1" allowOverlap="1" wp14:anchorId="3BC97564" wp14:editId="3AA94E2D">
          <wp:simplePos x="0" y="0"/>
          <wp:positionH relativeFrom="column">
            <wp:posOffset>-471805</wp:posOffset>
          </wp:positionH>
          <wp:positionV relativeFrom="paragraph">
            <wp:posOffset>-131445</wp:posOffset>
          </wp:positionV>
          <wp:extent cx="1924050" cy="653052"/>
          <wp:effectExtent l="0" t="0" r="0" b="0"/>
          <wp:wrapNone/>
          <wp:docPr id="813631801" name="Imagen 81363180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356D02">
      <w:rPr>
        <w:rFonts w:ascii="Medium" w:hAnsi="Medium" w:cs="Arial"/>
        <w:b/>
        <w:color w:val="632423" w:themeColor="accent2" w:themeShade="80"/>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E2068E" w:rsidRDefault="006047A9" w:rsidP="0085511A">
    <w:pPr>
      <w:ind w:left="3828"/>
      <w:jc w:val="right"/>
      <w:rPr>
        <w:rFonts w:ascii="Medium" w:hAnsi="Medium" w:cs="Arial"/>
        <w:b/>
        <w:color w:val="661C33"/>
        <w:sz w:val="26"/>
        <w:szCs w:val="26"/>
      </w:rPr>
    </w:pPr>
    <w:r w:rsidRPr="00E2068E">
      <w:rPr>
        <w:rFonts w:ascii="Medium" w:hAnsi="Medium" w:cs="Arial"/>
        <w:b/>
        <w:noProof/>
        <w:color w:val="661C33"/>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718552424" name="Imagen 171855242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E2068E">
      <w:rPr>
        <w:rFonts w:ascii="Medium" w:hAnsi="Medium" w:cs="Arial"/>
        <w:b/>
        <w:color w:val="661C33"/>
        <w:sz w:val="26"/>
        <w:szCs w:val="26"/>
      </w:rPr>
      <w:t>Formato para la Difusión de los Resultados de la Evaluaci</w:t>
    </w:r>
    <w:r w:rsidR="002272AA" w:rsidRPr="00E2068E">
      <w:rPr>
        <w:rFonts w:ascii="Medium" w:hAnsi="Medium" w:cs="Arial"/>
        <w:b/>
        <w:color w:val="661C33"/>
        <w:sz w:val="26"/>
        <w:szCs w:val="26"/>
      </w:rPr>
      <w:t xml:space="preserve">ón del </w:t>
    </w:r>
    <w:r w:rsidR="00A65C5E" w:rsidRPr="00E2068E">
      <w:rPr>
        <w:rFonts w:ascii="Medium" w:hAnsi="Medium" w:cs="Arial"/>
        <w:b/>
        <w:color w:val="661C33"/>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8pt;height:595.25pt" o:bullet="t">
        <v:imagedata r:id="rId1" o:title="03"/>
      </v:shape>
    </w:pict>
  </w:numPicBullet>
  <w:numPicBullet w:numPicBulletId="1">
    <w:pict>
      <v:shape id="_x0000_i1027" type="#_x0000_t75" style="width:282.15pt;height:297.2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177814755">
    <w:abstractNumId w:val="23"/>
  </w:num>
  <w:num w:numId="2" w16cid:durableId="1341853972">
    <w:abstractNumId w:val="21"/>
  </w:num>
  <w:num w:numId="3" w16cid:durableId="1039550233">
    <w:abstractNumId w:val="7"/>
  </w:num>
  <w:num w:numId="4" w16cid:durableId="862478152">
    <w:abstractNumId w:val="19"/>
  </w:num>
  <w:num w:numId="5" w16cid:durableId="850485855">
    <w:abstractNumId w:val="2"/>
  </w:num>
  <w:num w:numId="6" w16cid:durableId="267811752">
    <w:abstractNumId w:val="27"/>
  </w:num>
  <w:num w:numId="7" w16cid:durableId="973489681">
    <w:abstractNumId w:val="28"/>
  </w:num>
  <w:num w:numId="8" w16cid:durableId="1190607814">
    <w:abstractNumId w:val="29"/>
  </w:num>
  <w:num w:numId="9" w16cid:durableId="1082600708">
    <w:abstractNumId w:val="20"/>
  </w:num>
  <w:num w:numId="10" w16cid:durableId="36394639">
    <w:abstractNumId w:val="12"/>
  </w:num>
  <w:num w:numId="11" w16cid:durableId="1358233775">
    <w:abstractNumId w:val="14"/>
  </w:num>
  <w:num w:numId="12" w16cid:durableId="135993112">
    <w:abstractNumId w:val="26"/>
  </w:num>
  <w:num w:numId="13" w16cid:durableId="1266309297">
    <w:abstractNumId w:val="25"/>
  </w:num>
  <w:num w:numId="14" w16cid:durableId="1323849597">
    <w:abstractNumId w:val="22"/>
  </w:num>
  <w:num w:numId="15" w16cid:durableId="119501425">
    <w:abstractNumId w:val="16"/>
  </w:num>
  <w:num w:numId="16" w16cid:durableId="685209246">
    <w:abstractNumId w:val="4"/>
  </w:num>
  <w:num w:numId="17" w16cid:durableId="1024287856">
    <w:abstractNumId w:val="6"/>
  </w:num>
  <w:num w:numId="18" w16cid:durableId="1130171107">
    <w:abstractNumId w:val="17"/>
  </w:num>
  <w:num w:numId="19" w16cid:durableId="1262252804">
    <w:abstractNumId w:val="15"/>
  </w:num>
  <w:num w:numId="20" w16cid:durableId="182406859">
    <w:abstractNumId w:val="5"/>
  </w:num>
  <w:num w:numId="21" w16cid:durableId="1252467424">
    <w:abstractNumId w:val="3"/>
  </w:num>
  <w:num w:numId="22" w16cid:durableId="602763731">
    <w:abstractNumId w:val="13"/>
  </w:num>
  <w:num w:numId="23" w16cid:durableId="340670354">
    <w:abstractNumId w:val="24"/>
  </w:num>
  <w:num w:numId="24" w16cid:durableId="761030091">
    <w:abstractNumId w:val="11"/>
  </w:num>
  <w:num w:numId="25" w16cid:durableId="1013993980">
    <w:abstractNumId w:val="18"/>
  </w:num>
  <w:num w:numId="26" w16cid:durableId="98335821">
    <w:abstractNumId w:val="8"/>
  </w:num>
  <w:num w:numId="27" w16cid:durableId="1052311963">
    <w:abstractNumId w:val="10"/>
  </w:num>
  <w:num w:numId="28" w16cid:durableId="57628404">
    <w:abstractNumId w:val="0"/>
  </w:num>
  <w:num w:numId="29" w16cid:durableId="1093630917">
    <w:abstractNumId w:val="9"/>
  </w:num>
  <w:num w:numId="30" w16cid:durableId="212973324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3A8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56D02"/>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571E6"/>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77691"/>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38"/>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53B99"/>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01AC"/>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72B"/>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436F"/>
    <w:rsid w:val="00D15AF3"/>
    <w:rsid w:val="00D16047"/>
    <w:rsid w:val="00D2217D"/>
    <w:rsid w:val="00D222DC"/>
    <w:rsid w:val="00D22A2D"/>
    <w:rsid w:val="00D27992"/>
    <w:rsid w:val="00D31A79"/>
    <w:rsid w:val="00D33ED2"/>
    <w:rsid w:val="00D36606"/>
    <w:rsid w:val="00D433BA"/>
    <w:rsid w:val="00D51CB4"/>
    <w:rsid w:val="00D54A9B"/>
    <w:rsid w:val="00D557F6"/>
    <w:rsid w:val="00D617BA"/>
    <w:rsid w:val="00D625D5"/>
    <w:rsid w:val="00D63AE8"/>
    <w:rsid w:val="00D71101"/>
    <w:rsid w:val="00D73FE0"/>
    <w:rsid w:val="00D74E49"/>
    <w:rsid w:val="00D77276"/>
    <w:rsid w:val="00D8309E"/>
    <w:rsid w:val="00D913D9"/>
    <w:rsid w:val="00D92DBC"/>
    <w:rsid w:val="00D97FF6"/>
    <w:rsid w:val="00DA1D55"/>
    <w:rsid w:val="00DA6B5F"/>
    <w:rsid w:val="00DA6D7B"/>
    <w:rsid w:val="00DB140C"/>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068E"/>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457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an.millan@sinalo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lizarraga@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C2A62-FDDE-4EEE-802D-C243603B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45</TotalTime>
  <Pages>4</Pages>
  <Words>1451</Words>
  <Characters>7984</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20</cp:revision>
  <cp:lastPrinted>2022-06-17T19:35:00Z</cp:lastPrinted>
  <dcterms:created xsi:type="dcterms:W3CDTF">2022-12-06T19:20:00Z</dcterms:created>
  <dcterms:modified xsi:type="dcterms:W3CDTF">2026-05-15T21:23:00Z</dcterms:modified>
</cp:coreProperties>
</file>